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附件1</w:t>
      </w:r>
    </w:p>
    <w:p>
      <w:pPr>
        <w:spacing w:line="620" w:lineRule="exact"/>
        <w:jc w:val="center"/>
        <w:rPr>
          <w:rFonts w:ascii="Times New Roman" w:hAnsi="Times New Roman" w:eastAsia="方正小标宋简体"/>
          <w:sz w:val="32"/>
          <w:szCs w:val="32"/>
        </w:rPr>
      </w:pPr>
      <w:r>
        <w:rPr>
          <w:rFonts w:hint="eastAsia" w:eastAsia="方正小标宋简体"/>
          <w:sz w:val="32"/>
          <w:szCs w:val="32"/>
          <w:lang w:eastAsia="zh-CN"/>
        </w:rPr>
        <w:t>初步</w:t>
      </w:r>
      <w:r>
        <w:rPr>
          <w:rFonts w:hint="eastAsia" w:ascii="Times New Roman" w:hAnsi="Times New Roman" w:eastAsia="方正小标宋简体"/>
          <w:sz w:val="32"/>
          <w:szCs w:val="32"/>
        </w:rPr>
        <w:t>技术参数表</w:t>
      </w:r>
    </w:p>
    <w:p>
      <w:pPr>
        <w:spacing w:line="579" w:lineRule="exact"/>
        <w:ind w:firstLine="570"/>
        <w:rPr>
          <w:rFonts w:hint="default" w:ascii="宋体" w:hAnsi="宋体"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设备名称：细胞电融合仪</w:t>
      </w:r>
    </w:p>
    <w:p>
      <w:pPr>
        <w:spacing w:line="579" w:lineRule="exact"/>
        <w:ind w:firstLine="570"/>
        <w:rPr>
          <w:rFonts w:hint="eastAsia" w:eastAsia="黑体"/>
          <w:sz w:val="28"/>
          <w:szCs w:val="28"/>
          <w:lang w:val="en-US" w:eastAsia="zh-CN"/>
        </w:rPr>
      </w:pPr>
      <w:r>
        <w:rPr>
          <w:rFonts w:eastAsia="黑体"/>
          <w:sz w:val="28"/>
          <w:szCs w:val="28"/>
        </w:rPr>
        <w:t>一、设</w:t>
      </w:r>
      <w:r>
        <w:rPr>
          <w:rFonts w:hint="eastAsia" w:eastAsia="黑体"/>
          <w:sz w:val="28"/>
          <w:szCs w:val="28"/>
          <w:lang w:val="en-US" w:eastAsia="zh-CN"/>
        </w:rPr>
        <w:t>备</w:t>
      </w:r>
      <w:r>
        <w:rPr>
          <w:rFonts w:eastAsia="黑体"/>
          <w:sz w:val="28"/>
          <w:szCs w:val="28"/>
        </w:rPr>
        <w:t>需求</w:t>
      </w:r>
      <w:r>
        <w:rPr>
          <w:rFonts w:hint="eastAsia" w:eastAsia="黑体"/>
          <w:sz w:val="28"/>
          <w:szCs w:val="28"/>
          <w:lang w:val="en-US" w:eastAsia="zh-CN"/>
        </w:rPr>
        <w:t>概况</w:t>
      </w:r>
    </w:p>
    <w:p>
      <w:pPr>
        <w:keepNext w:val="0"/>
        <w:keepLines w:val="0"/>
        <w:widowControl/>
        <w:suppressLineNumbers w:val="0"/>
        <w:shd w:val="clear" w:fill="FFFFFF"/>
        <w:spacing w:after="30" w:afterAutospacing="0" w:line="315" w:lineRule="atLeast"/>
        <w:ind w:left="0" w:right="0" w:firstLine="560" w:firstLineChars="200"/>
        <w:jc w:val="left"/>
        <w:rPr>
          <w:rFonts w:hint="default" w:ascii="宋体" w:hAnsi="宋体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根据建设需求，购置细胞电融合仪可进行单克隆制备的细胞融合、无细胞壁的原生质体融合、四倍体胚胎制作、胚胎活化的体细胞核移植（克隆）、孤雌生殖、CRISPR/Cas9技术受精卵基因编辑等</w:t>
      </w:r>
      <w:r>
        <w:rPr>
          <w:rFonts w:hint="eastAsia" w:ascii="宋体" w:hAnsi="宋体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。</w:t>
      </w:r>
    </w:p>
    <w:p>
      <w:pPr>
        <w:spacing w:line="579" w:lineRule="exact"/>
        <w:ind w:firstLine="570"/>
        <w:rPr>
          <w:rFonts w:eastAsia="黑体"/>
          <w:sz w:val="28"/>
          <w:szCs w:val="28"/>
        </w:rPr>
      </w:pPr>
      <w:r>
        <w:rPr>
          <w:rFonts w:eastAsia="黑体"/>
          <w:sz w:val="28"/>
          <w:szCs w:val="28"/>
        </w:rPr>
        <w:t>二、主要技术参数</w:t>
      </w:r>
    </w:p>
    <w:p>
      <w:pPr>
        <w:numPr>
          <w:ilvl w:val="0"/>
          <w:numId w:val="0"/>
        </w:numPr>
        <w:ind w:firstLine="560" w:firstLineChars="200"/>
        <w:rPr>
          <w:rFonts w:hint="eastAsia" w:ascii="宋体" w:hAnsi="宋体" w:eastAsia="仿宋_GB2312"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1、控制方式：触摸屏或高精度按键屏</w:t>
      </w:r>
    </w:p>
    <w:p>
      <w:pPr>
        <w:numPr>
          <w:ilvl w:val="0"/>
          <w:numId w:val="0"/>
        </w:numPr>
        <w:ind w:firstLine="560" w:firstLineChars="200"/>
        <w:rPr>
          <w:rFonts w:hint="eastAsia" w:ascii="宋体" w:hAnsi="宋体"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2、具有细胞损伤修复功能</w:t>
      </w:r>
    </w:p>
    <w:p>
      <w:pPr>
        <w:numPr>
          <w:ilvl w:val="0"/>
          <w:numId w:val="0"/>
        </w:numPr>
        <w:ind w:firstLine="560" w:firstLineChars="200"/>
        <w:rPr>
          <w:rFonts w:hint="eastAsia" w:ascii="宋体" w:hAnsi="宋体"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3、能够实时检测转染目标的电阻值</w:t>
      </w:r>
    </w:p>
    <w:p>
      <w:pPr>
        <w:numPr>
          <w:ilvl w:val="0"/>
          <w:numId w:val="0"/>
        </w:numPr>
        <w:ind w:firstLine="560" w:firstLineChars="200"/>
        <w:rPr>
          <w:rFonts w:hint="eastAsia" w:ascii="宋体" w:hAnsi="宋体"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4、交流电压：≥0–80V，调节精度≤1V；直流电压：≥1–1500V，调节精度≤1V</w:t>
      </w:r>
    </w:p>
    <w:p>
      <w:pPr>
        <w:numPr>
          <w:ilvl w:val="0"/>
          <w:numId w:val="0"/>
        </w:numPr>
        <w:ind w:firstLine="560" w:firstLineChars="200"/>
        <w:rPr>
          <w:rFonts w:hint="eastAsia" w:ascii="宋体" w:hAnsi="宋体"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5、预融合脉冲时间：≥0–50s，后融合脉冲时间：≥0–5s</w:t>
      </w:r>
    </w:p>
    <w:p>
      <w:pPr>
        <w:numPr>
          <w:ilvl w:val="0"/>
          <w:numId w:val="0"/>
        </w:numPr>
        <w:ind w:firstLine="560" w:firstLineChars="200"/>
        <w:rPr>
          <w:rFonts w:hint="eastAsia" w:ascii="宋体" w:hAnsi="宋体"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6、脉冲间隔：≥0.1–9.9s ，调节精度≤0.1s</w:t>
      </w:r>
    </w:p>
    <w:p>
      <w:pPr>
        <w:numPr>
          <w:ilvl w:val="0"/>
          <w:numId w:val="0"/>
        </w:numPr>
        <w:ind w:firstLine="560" w:firstLineChars="200"/>
        <w:rPr>
          <w:rFonts w:hint="eastAsia" w:ascii="宋体" w:hAnsi="宋体"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7、脉冲数：≥99个</w:t>
      </w:r>
    </w:p>
    <w:p>
      <w:pPr>
        <w:numPr>
          <w:ilvl w:val="0"/>
          <w:numId w:val="0"/>
        </w:numPr>
        <w:ind w:firstLine="560" w:firstLineChars="200"/>
        <w:rPr>
          <w:rFonts w:hint="eastAsia" w:ascii="宋体" w:hAnsi="宋体"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8、脉冲频率：≥400KHz</w:t>
      </w:r>
    </w:p>
    <w:p>
      <w:pPr>
        <w:numPr>
          <w:ilvl w:val="0"/>
          <w:numId w:val="0"/>
        </w:numPr>
        <w:ind w:firstLine="560" w:firstLineChars="200"/>
        <w:rPr>
          <w:rFonts w:hint="eastAsia" w:ascii="宋体" w:hAnsi="宋体"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9、脉冲波形：正弦波</w:t>
      </w:r>
    </w:p>
    <w:p>
      <w:pPr>
        <w:numPr>
          <w:ilvl w:val="0"/>
          <w:numId w:val="0"/>
        </w:numPr>
        <w:ind w:firstLine="560" w:firstLineChars="200"/>
        <w:rPr>
          <w:rFonts w:hint="eastAsia" w:ascii="宋体" w:hAnsi="宋体"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10、脉冲模式：单向或正反交替</w:t>
      </w:r>
    </w:p>
    <w:p>
      <w:pPr>
        <w:numPr>
          <w:ilvl w:val="0"/>
          <w:numId w:val="0"/>
        </w:numPr>
        <w:ind w:firstLine="560" w:firstLineChars="200"/>
        <w:rPr>
          <w:rFonts w:hint="eastAsia" w:ascii="宋体" w:hAnsi="宋体"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11、交流/直流切换时间：≤8us</w:t>
      </w:r>
    </w:p>
    <w:p>
      <w:pPr>
        <w:numPr>
          <w:ilvl w:val="0"/>
          <w:numId w:val="0"/>
        </w:numPr>
        <w:ind w:firstLine="560" w:firstLineChars="200"/>
        <w:rPr>
          <w:rFonts w:hint="eastAsia" w:ascii="宋体" w:hAnsi="宋体"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12、电阻测定：≥1-35KΩ</w:t>
      </w:r>
    </w:p>
    <w:p>
      <w:pPr>
        <w:numPr>
          <w:ilvl w:val="0"/>
          <w:numId w:val="0"/>
        </w:numPr>
        <w:ind w:firstLine="560" w:firstLineChars="200"/>
        <w:rPr>
          <w:rFonts w:hint="eastAsia" w:ascii="宋体" w:hAnsi="宋体"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13、基因编辑模式：输出电压：≥1–200V,调节精度:≤1V</w:t>
      </w:r>
      <w:bookmarkStart w:id="0" w:name="_GoBack"/>
      <w:bookmarkEnd w:id="0"/>
      <w:r>
        <w:rPr>
          <w:rFonts w:hint="eastAsia" w:ascii="宋体" w:hAnsi="宋体"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</w:p>
    <w:p>
      <w:pPr>
        <w:spacing w:line="579" w:lineRule="exact"/>
        <w:ind w:firstLine="570"/>
        <w:rPr>
          <w:rFonts w:eastAsia="黑体"/>
          <w:sz w:val="28"/>
          <w:szCs w:val="28"/>
        </w:rPr>
      </w:pPr>
      <w:r>
        <w:rPr>
          <w:rFonts w:eastAsia="黑体"/>
          <w:sz w:val="28"/>
          <w:szCs w:val="28"/>
        </w:rPr>
        <w:t>三、配置需求</w:t>
      </w:r>
    </w:p>
    <w:p>
      <w:pPr>
        <w:numPr>
          <w:ilvl w:val="0"/>
          <w:numId w:val="0"/>
        </w:numPr>
        <w:ind w:firstLine="560" w:firstLineChars="200"/>
        <w:rPr>
          <w:rFonts w:hint="eastAsia" w:ascii="宋体" w:hAnsi="宋体" w:cs="Times New Roman"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Times New Roman"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需求数量：1套（主机1台、电极1套）。</w:t>
      </w:r>
    </w:p>
    <w:p>
      <w:pPr>
        <w:spacing w:line="579" w:lineRule="exact"/>
        <w:ind w:firstLine="570"/>
        <w:rPr>
          <w:rFonts w:eastAsia="黑体"/>
          <w:sz w:val="28"/>
          <w:szCs w:val="28"/>
        </w:rPr>
      </w:pPr>
      <w:r>
        <w:rPr>
          <w:rFonts w:eastAsia="黑体"/>
          <w:sz w:val="28"/>
          <w:szCs w:val="28"/>
        </w:rPr>
        <w:t>四、售后服务需求</w:t>
      </w:r>
    </w:p>
    <w:p>
      <w:pPr>
        <w:numPr>
          <w:ilvl w:val="0"/>
          <w:numId w:val="0"/>
        </w:numPr>
        <w:ind w:firstLine="560" w:firstLineChars="200"/>
        <w:rPr>
          <w:rFonts w:hint="eastAsia" w:ascii="宋体" w:hAnsi="宋体" w:cs="Times New Roman"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Times New Roman"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1.提供设备免费安装和调试及培训。</w:t>
      </w:r>
    </w:p>
    <w:p>
      <w:pPr>
        <w:numPr>
          <w:ilvl w:val="0"/>
          <w:numId w:val="0"/>
        </w:numPr>
        <w:ind w:firstLine="560" w:firstLineChars="200"/>
        <w:rPr>
          <w:rFonts w:hint="eastAsia" w:ascii="宋体" w:hAnsi="宋体" w:cs="Times New Roman"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Times New Roman"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2.免费质保期2年。</w:t>
      </w:r>
    </w:p>
    <w:p>
      <w:pPr>
        <w:numPr>
          <w:ilvl w:val="0"/>
          <w:numId w:val="0"/>
        </w:numPr>
        <w:ind w:firstLine="560" w:firstLineChars="200"/>
        <w:rPr>
          <w:rFonts w:hint="eastAsia" w:ascii="宋体" w:hAnsi="宋体" w:cs="Times New Roman"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Times New Roman"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3.设备故障维修响应时间≤24小时。</w:t>
      </w:r>
    </w:p>
    <w:p>
      <w:pPr>
        <w:numPr>
          <w:ilvl w:val="0"/>
          <w:numId w:val="0"/>
        </w:numPr>
        <w:ind w:firstLine="560" w:firstLineChars="200"/>
        <w:rPr>
          <w:rFonts w:hint="eastAsia" w:ascii="宋体" w:hAnsi="宋体" w:cs="Times New Roman"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Times New Roman"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4.</w:t>
      </w:r>
      <w:r>
        <w:rPr>
          <w:rFonts w:hint="default" w:ascii="宋体" w:hAnsi="宋体" w:cs="Times New Roman"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提供设备过保期后维保价格及配件价格清单</w:t>
      </w:r>
      <w:r>
        <w:rPr>
          <w:rFonts w:hint="eastAsia" w:ascii="宋体" w:hAnsi="宋体" w:cs="Times New Roman"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，配件供应时间≥10年。</w:t>
      </w:r>
    </w:p>
    <w:p>
      <w:pPr>
        <w:numPr>
          <w:ilvl w:val="0"/>
          <w:numId w:val="0"/>
        </w:numPr>
        <w:ind w:firstLine="560" w:firstLineChars="200"/>
        <w:rPr>
          <w:rFonts w:hint="eastAsia" w:ascii="宋体" w:hAnsi="宋体" w:cs="Times New Roman"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Times New Roman"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5、保修期内提供定期维护保养服务：2次/年上门对设备进行维保服务。</w:t>
      </w:r>
    </w:p>
    <w:p>
      <w:pPr>
        <w:numPr>
          <w:ilvl w:val="0"/>
          <w:numId w:val="0"/>
        </w:numPr>
        <w:ind w:firstLine="560" w:firstLineChars="200"/>
        <w:rPr>
          <w:rFonts w:hint="eastAsia" w:ascii="仿宋_GB2312" w:hAnsi="黑体"/>
        </w:rPr>
      </w:pPr>
      <w:r>
        <w:rPr>
          <w:rFonts w:hint="eastAsia" w:ascii="宋体" w:hAnsi="宋体" w:cs="Times New Roman"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6、软件终身免费升级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U3YWI3NjgyZWY5MWJmZTdmZDUxNmM3MWI0OWM4YjkifQ=="/>
  </w:docVars>
  <w:rsids>
    <w:rsidRoot w:val="46C46436"/>
    <w:rsid w:val="063B723F"/>
    <w:rsid w:val="0D4B45C0"/>
    <w:rsid w:val="0DB41A73"/>
    <w:rsid w:val="110E2489"/>
    <w:rsid w:val="2045402C"/>
    <w:rsid w:val="32CB2C85"/>
    <w:rsid w:val="37975241"/>
    <w:rsid w:val="46C46436"/>
    <w:rsid w:val="66B341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